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6237" w:hanging="0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>
      <w:pPr>
        <w:pStyle w:val="Normal"/>
        <w:ind w:left="6237" w:hanging="0"/>
        <w:rPr>
          <w:sz w:val="28"/>
          <w:szCs w:val="28"/>
        </w:rPr>
      </w:pPr>
      <w:r>
        <w:rPr>
          <w:sz w:val="28"/>
          <w:szCs w:val="28"/>
        </w:rPr>
        <w:t>к государственной программе</w:t>
      </w:r>
    </w:p>
    <w:p>
      <w:pPr>
        <w:pStyle w:val="Normal"/>
        <w:ind w:left="6237" w:hanging="0"/>
        <w:rPr>
          <w:sz w:val="28"/>
          <w:szCs w:val="28"/>
        </w:rPr>
      </w:pPr>
      <w:r>
        <w:rPr>
          <w:sz w:val="28"/>
          <w:szCs w:val="28"/>
        </w:rPr>
        <w:t>"Региональная политика Брянской области"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реализацию мероприятий федеральной целевой программы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"Увековечение памяти погибших при защите Отечества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2019 - 2024 годы" государственной программы "Региональная политика Брянской области"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разработан в соответствии с </w:t>
      </w:r>
      <w:hyperlink r:id="rId2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362-п, устанавливает цели и условия предоставления и расходования, критерии отбора муниципальных образований Брянской области для предоставления субсидий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области", методику распределения указанных субсидий.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bookmarkStart w:id="0" w:name="Par12"/>
      <w:bookmarkEnd w:id="0"/>
      <w:r>
        <w:rPr>
          <w:sz w:val="28"/>
          <w:szCs w:val="28"/>
        </w:rPr>
        <w:t>2. Субсидии предоставляются бюджетам муниципальных образований Брянской области с целью софинансирования следующих мероприятий: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обустройство мест захоронения останков погибших при защите Отечества, обнаруженных в ходе проведения поисковых работ;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восстановление (ремонт, реставрация, благоустройство) воинских захоронений на территории Брянской области;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установка мемориальных знаков;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bookmarkStart w:id="1" w:name="Par17"/>
      <w:bookmarkEnd w:id="1"/>
      <w:r>
        <w:rPr>
          <w:sz w:val="28"/>
          <w:szCs w:val="28"/>
        </w:rPr>
        <w:t xml:space="preserve">3. Условиями предоставления и расходования субсидий на цели, предусмотренные </w:t>
      </w:r>
      <w:hyperlink w:anchor="Par12">
        <w:r>
          <w:rPr>
            <w:sz w:val="28"/>
            <w:szCs w:val="28"/>
          </w:rPr>
          <w:t>пунктом 2</w:t>
        </w:r>
      </w:hyperlink>
      <w:r>
        <w:rPr>
          <w:sz w:val="28"/>
          <w:szCs w:val="28"/>
        </w:rPr>
        <w:t xml:space="preserve"> настоящего Порядка, являются: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наличие муниципальной программы, предусматривающей мероприятия, указанные в пункте 2 настоящего Порядка;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наличие соглашения о предоставлении субсидии, заключенного с учетом требований, установленных </w:t>
      </w:r>
      <w:hyperlink r:id="rId3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N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Уровень софинансирования расходных обязательств муниципального образования Брянской области, указанных в </w:t>
      </w:r>
      <w:hyperlink w:anchor="Par12">
        <w:r>
          <w:rPr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Порядка, не может превышать предельный уровень софинансирования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период, установленный нормативным правовым актом Правительства Брянской области.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Главным распорядителем средств областного бюджета является департамент внутренней политики Брянской области (далее - департамент).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Отбор муниципальных образований Брянской области осуществляется департаментом.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bookmarkStart w:id="2" w:name="Par24"/>
      <w:bookmarkEnd w:id="2"/>
      <w:r>
        <w:rPr>
          <w:sz w:val="28"/>
          <w:szCs w:val="28"/>
        </w:rPr>
        <w:t>7. Критериями отбора муниципальных образований для предоставления субсидий являются: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наличие на территории муниципального образования воинских захоронений, указанных в </w:t>
      </w:r>
      <w:hyperlink r:id="rId4">
        <w:r>
          <w:rPr>
            <w:sz w:val="28"/>
            <w:szCs w:val="28"/>
          </w:rPr>
          <w:t>статье 3</w:t>
        </w:r>
      </w:hyperlink>
      <w:r>
        <w:rPr>
          <w:sz w:val="28"/>
          <w:szCs w:val="28"/>
        </w:rPr>
        <w:t xml:space="preserve"> Закона Российской Федерации от 14 января 1993 года N 4292-1 "Об увековечении памяти погибших при защите Отечества", требующих реализации хотя бы одного из мероприятий, указанных в </w:t>
      </w:r>
      <w:hyperlink w:anchor="Par12">
        <w:r>
          <w:rPr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дублирования мероприятий, указанных в пункте 2 настоящего Порядка, в других государственных программах Брянской области.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Департамент с учетом критериев, перечисленных в пункте 7 настоящего Порядка, определяет перечень муниципальных образований Брянской области для предоставления субсидий на цели, указанные в пункте 2 настоящего Порядка.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Распределение субсидий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области", удовлетворяющих условиям и критериям, установленным </w:t>
      </w:r>
      <w:hyperlink w:anchor="Par17">
        <w:r>
          <w:rPr>
            <w:sz w:val="28"/>
            <w:szCs w:val="28"/>
          </w:rPr>
          <w:t>пунктами 3</w:t>
        </w:r>
      </w:hyperlink>
      <w:r>
        <w:rPr>
          <w:sz w:val="28"/>
          <w:szCs w:val="28"/>
        </w:rPr>
        <w:t xml:space="preserve">, </w:t>
      </w:r>
      <w:hyperlink w:anchor="Par24">
        <w:r>
          <w:rPr>
            <w:sz w:val="28"/>
            <w:szCs w:val="28"/>
          </w:rPr>
          <w:t>7</w:t>
        </w:r>
      </w:hyperlink>
      <w:r>
        <w:rPr>
          <w:sz w:val="28"/>
          <w:szCs w:val="28"/>
        </w:rPr>
        <w:t xml:space="preserve"> настоящего Порядка, утверждается законом Брянской области об областном бюджете на соответствующий финансовый год и плановый период.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Главный распорядитель средств областного бюджета предоставляет субсидию на основании соглашений о предоставлении субсидий бюджету муниципального образования, заключенных с администрациями муниципальных образований.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Соглашения подготавливаются (формируются) и заключаются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по форме, предусмотренной данной системой.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Администрации муниципальных образований обеспечивают предоставление отчетов согласно срокам и формам, предусмотренным соглашением.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Внесение изменений в распределение субсидий между муниципальными образованиями Брянской области осуществляется в случаях, предусмотренных </w:t>
      </w:r>
      <w:hyperlink r:id="rId5">
        <w:r>
          <w:rPr>
            <w:sz w:val="28"/>
            <w:szCs w:val="28"/>
          </w:rPr>
          <w:t>статьей 13</w:t>
        </w:r>
      </w:hyperlink>
      <w:r>
        <w:rPr>
          <w:sz w:val="28"/>
          <w:szCs w:val="28"/>
        </w:rPr>
        <w:t xml:space="preserve"> Закона Брянской области от 2 ноября 2016 года N 89-З "О межбюджетных отношениях в Брянской области".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Оценка эффективности использования субсидий оценивается по результатам достижения следующих целевых индикаторов и показателей в отчетном году в соответствии с заключенными соглашениями: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количество обустроенных мест захоронения останков погибших при защите Отечества, обнаруженных в ходе проведения поисковых работ (единиц);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количество невосстановленных воинских захоронений (единиц);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количество установленных мемориальных знаков (единиц);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количество имен погибших при защите Отечества, нанесенных на мемориальные сооружения воинских захоронений по месту захоронения (единиц).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Органы местного самоуправления представляют главному распорядителю средств областного бюджета документы, подтверждающие производимые расходы.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 невыполнении условий соглашения к муниципальному образованию получателю субсидии применяются меры финансовой ответственности в соответствии с </w:t>
      </w:r>
      <w:hyperlink r:id="rId6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362-п.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>
      <w:pPr>
        <w:pStyle w:val="Normal"/>
        <w:spacing w:before="26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Контроль за правомерным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бюджетным законодательством и с учетом положений, утвержденных </w:t>
      </w:r>
      <w:hyperlink r:id="rId7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N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распределения субсидий бюджетам муниципальных образований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реализацию мероприятий федеральной целевой программы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"Увековечение памяти погибших при защите Отечества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2019 - 2024 годы" государственной программы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"Региональная политика Брянской области"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 i-му муниципальному образованию (C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>) определяется по формуле: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714375" cy="3905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>
      <w:pPr>
        <w:pStyle w:val="Normal"/>
        <w:spacing w:before="20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объем средств, необходимый i-му муниципальному образованию на софинансирование мероприятий.</w:t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133" w:right="566" w:header="0" w:top="1440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5b3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195b32"/>
    <w:pPr>
      <w:keepNext w:val="true"/>
      <w:jc w:val="center"/>
      <w:outlineLvl w:val="0"/>
    </w:pPr>
    <w:rPr>
      <w:b/>
      <w:sz w:val="40"/>
      <w:szCs w:val="30"/>
    </w:rPr>
  </w:style>
  <w:style w:type="paragraph" w:styleId="2">
    <w:name w:val="Heading 2"/>
    <w:basedOn w:val="Normal"/>
    <w:next w:val="Normal"/>
    <w:link w:val="20"/>
    <w:uiPriority w:val="9"/>
    <w:qFormat/>
    <w:rsid w:val="00195b32"/>
    <w:pPr>
      <w:keepNext w:val="true"/>
      <w:outlineLvl w:val="1"/>
    </w:pPr>
    <w:rPr>
      <w:sz w:val="28"/>
    </w:rPr>
  </w:style>
  <w:style w:type="paragraph" w:styleId="3">
    <w:name w:val="Heading 3"/>
    <w:basedOn w:val="Normal"/>
    <w:link w:val="30"/>
    <w:uiPriority w:val="9"/>
    <w:qFormat/>
    <w:rsid w:val="00195b32"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95b32"/>
    <w:rPr>
      <w:b/>
      <w:sz w:val="40"/>
      <w:szCs w:val="30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195b32"/>
    <w:rPr>
      <w:sz w:val="28"/>
      <w:szCs w:val="24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195b32"/>
    <w:rPr>
      <w:b/>
      <w:bCs/>
      <w:sz w:val="27"/>
      <w:szCs w:val="27"/>
    </w:rPr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ea12d1"/>
    <w:rPr>
      <w:rFonts w:ascii="Tahoma" w:hAnsi="Tahoma" w:cs="Tahoma"/>
      <w:sz w:val="16"/>
      <w:szCs w:val="16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195b32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ea12d1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D46D1C0DBEF7359194E2EE3704A8B17170380B97297AC311E87371ADA94178426DB8ACA39227402C22DBCD18B08777A213D0392D496B38EBED4014RAd1O" TargetMode="External"/><Relationship Id="rId3" Type="http://schemas.openxmlformats.org/officeDocument/2006/relationships/hyperlink" Target="consultantplus://offline/ref=D46D1C0DBEF7359194E2EE3704A8B17170380B97297AC311E87371ADA94178426DB8ACB1927F4C2D26C5CD1BA5D126E4R4d7O" TargetMode="External"/><Relationship Id="rId4" Type="http://schemas.openxmlformats.org/officeDocument/2006/relationships/hyperlink" Target="consultantplus://offline/ref=D46D1C0DBEF7359194E2F03A12C4ED7C72375C9B2D7BCD40B52C2AF0FE4872152AF7F5E1D62A412E25D0984AFF862BE742C33929496838F7REdEO" TargetMode="External"/><Relationship Id="rId5" Type="http://schemas.openxmlformats.org/officeDocument/2006/relationships/hyperlink" Target="consultantplus://offline/ref=D46D1C0DBEF7359194E2EE3704A8B17170380B97297EC41FEC7371ADA94178426DB8ACA39227452E23D0984AFF862BE742C33929496838F7REdEO" TargetMode="External"/><Relationship Id="rId6" Type="http://schemas.openxmlformats.org/officeDocument/2006/relationships/hyperlink" Target="consultantplus://offline/ref=D46D1C0DBEF7359194E2EE3704A8B17170380B97297AC311E87371ADA94178426DB8ACA39227402C22DBCD18B08777A213D0392D496B38EBED4014RAd1O" TargetMode="External"/><Relationship Id="rId7" Type="http://schemas.openxmlformats.org/officeDocument/2006/relationships/hyperlink" Target="consultantplus://offline/ref=D46D1C0DBEF7359194E2EE3704A8B17170380B97297AC311E87371ADA94178426DB8ACB1927F4C2D26C5CD1BA5D126E4R4d7O" TargetMode="External"/><Relationship Id="rId8" Type="http://schemas.openxmlformats.org/officeDocument/2006/relationships/image" Target="media/image1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LibreOffice/7.0.1.2$Windows_X86_64 LibreOffice_project/7cbcfc562f6eb6708b5ff7d7397325de9e764452</Application>
  <Pages>5</Pages>
  <Words>1050</Words>
  <Characters>8267</Characters>
  <CharactersWithSpaces>9264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2021-10-14T14:29:00Z</dcterms:created>
  <dc:creator>User</dc:creator>
  <dc:description/>
  <dc:language>ru-RU</dc:language>
  <cp:lastModifiedBy>User</cp:lastModifiedBy>
  <dcterms:modified xsi:type="dcterms:W3CDTF">2021-10-14T14:34:00Z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